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CA0" w:rsidRPr="00E94AA5" w:rsidRDefault="00616CA0" w:rsidP="00616CA0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ЗАТВЕРДЖЕНО</w:t>
      </w:r>
    </w:p>
    <w:p w:rsidR="00616CA0" w:rsidRPr="00E94AA5" w:rsidRDefault="002D0C83" w:rsidP="00616CA0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Наказ Департаменту культури</w:t>
      </w:r>
      <w:r w:rsidR="00240770"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виконавчого органу Київської міської ради (Київської міської державної адміністрації)</w:t>
      </w:r>
    </w:p>
    <w:p w:rsidR="00635DF3" w:rsidRPr="00635DF3" w:rsidRDefault="00892B52" w:rsidP="00635DF3">
      <w:pPr>
        <w:spacing w:after="0" w:line="240" w:lineRule="auto"/>
        <w:ind w:left="5387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>21</w:t>
      </w:r>
      <w:r w:rsidR="001D6A6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="00F461B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>жовтня</w:t>
      </w:r>
      <w:r w:rsidR="0086337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 2021 року</w:t>
      </w:r>
      <w:r w:rsidR="00635DF3" w:rsidRPr="00635DF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="00635DF3" w:rsidRPr="00635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516</w:t>
      </w:r>
      <w:r w:rsidR="0015056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>-к</w:t>
      </w:r>
    </w:p>
    <w:p w:rsidR="00616CA0" w:rsidRPr="00E94AA5" w:rsidRDefault="00616CA0" w:rsidP="00616CA0">
      <w:pPr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616CA0" w:rsidRPr="00E94AA5" w:rsidRDefault="00616CA0" w:rsidP="00616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616CA0" w:rsidRDefault="00616CA0" w:rsidP="00616CA0">
      <w:pPr>
        <w:tabs>
          <w:tab w:val="left" w:pos="561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УМОВИ</w:t>
      </w:r>
    </w:p>
    <w:p w:rsidR="00A42F78" w:rsidRPr="00E94AA5" w:rsidRDefault="00A42F78" w:rsidP="00616CA0">
      <w:pPr>
        <w:tabs>
          <w:tab w:val="left" w:pos="561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616CA0" w:rsidRPr="00E94AA5" w:rsidRDefault="00616CA0" w:rsidP="001F1E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проведення конкур</w:t>
      </w:r>
      <w:r w:rsidR="00025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 на зайняття вакантної посади</w:t>
      </w:r>
      <w:r w:rsidR="002D0C83"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55D95" w:rsidRPr="00755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головного спеціаліста відділу внутрішнього фінансового контролю та аудиту</w:t>
      </w:r>
      <w:r w:rsidR="00F461B8" w:rsidRPr="00755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92B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управління економіки та фінансів </w:t>
      </w:r>
      <w:r w:rsidR="001708B3"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Департаменту </w:t>
      </w:r>
      <w:r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культури виконавчого органу Київської міської ради (Київської міської державної адміністрації), </w:t>
      </w:r>
      <w:r w:rsidR="00494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категорія «В</w:t>
      </w:r>
      <w:r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616CA0" w:rsidRPr="00E94AA5" w:rsidRDefault="00616CA0" w:rsidP="00616C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Style w:val="a4"/>
        <w:tblW w:w="10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2051"/>
        <w:gridCol w:w="99"/>
        <w:gridCol w:w="6729"/>
        <w:gridCol w:w="482"/>
      </w:tblGrid>
      <w:tr w:rsidR="00616CA0" w:rsidRPr="00E94AA5" w:rsidTr="007635CB">
        <w:trPr>
          <w:trHeight w:val="171"/>
        </w:trPr>
        <w:tc>
          <w:tcPr>
            <w:tcW w:w="10214" w:type="dxa"/>
            <w:gridSpan w:val="5"/>
            <w:hideMark/>
          </w:tcPr>
          <w:p w:rsidR="00616CA0" w:rsidRPr="00E94AA5" w:rsidRDefault="00616CA0" w:rsidP="00CE4E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Загальні умови</w:t>
            </w:r>
          </w:p>
        </w:tc>
      </w:tr>
      <w:tr w:rsidR="00616CA0" w:rsidRPr="00E94AA5" w:rsidTr="005E2EB3">
        <w:trPr>
          <w:gridAfter w:val="1"/>
          <w:wAfter w:w="482" w:type="dxa"/>
        </w:trPr>
        <w:tc>
          <w:tcPr>
            <w:tcW w:w="2904" w:type="dxa"/>
            <w:gridSpan w:val="2"/>
            <w:hideMark/>
          </w:tcPr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Посадові обов’язки </w:t>
            </w:r>
          </w:p>
        </w:tc>
        <w:tc>
          <w:tcPr>
            <w:tcW w:w="6828" w:type="dxa"/>
            <w:gridSpan w:val="2"/>
            <w:hideMark/>
          </w:tcPr>
          <w:p w:rsidR="00201D36" w:rsidRPr="00201D36" w:rsidRDefault="00201D36" w:rsidP="00201D36">
            <w:pPr>
              <w:pStyle w:val="a9"/>
              <w:tabs>
                <w:tab w:val="left" w:pos="567"/>
              </w:tabs>
              <w:spacing w:after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 xml:space="preserve">1. </w:t>
            </w: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Здійснює згідно з діючими інструкціями та положеннями планові та позапланові контрольні заходи (аудити та перевірки) фінансового-господарської діяльності підприємств, установ та закладів культури підпорядкованих Департаменту культури.</w:t>
            </w:r>
          </w:p>
          <w:p w:rsidR="00201D36" w:rsidRPr="00201D36" w:rsidRDefault="00201D36" w:rsidP="00201D36">
            <w:pPr>
              <w:pStyle w:val="a9"/>
              <w:tabs>
                <w:tab w:val="left" w:pos="567"/>
              </w:tabs>
              <w:spacing w:after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2. Проводить оцінку:</w:t>
            </w:r>
          </w:p>
          <w:p w:rsidR="00201D36" w:rsidRPr="00201D36" w:rsidRDefault="00201D36" w:rsidP="00201D36">
            <w:pPr>
              <w:pStyle w:val="a3"/>
              <w:numPr>
                <w:ilvl w:val="0"/>
                <w:numId w:val="12"/>
              </w:numPr>
              <w:tabs>
                <w:tab w:val="left" w:pos="567"/>
              </w:tabs>
              <w:spacing w:after="0" w:line="240" w:lineRule="auto"/>
              <w:ind w:left="0" w:firstLine="3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201D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ефективності планування і виконання цільових програм та результатів їх виконання;</w:t>
            </w:r>
            <w:bookmarkStart w:id="0" w:name="61"/>
            <w:bookmarkEnd w:id="0"/>
          </w:p>
          <w:p w:rsidR="00201D36" w:rsidRPr="00201D36" w:rsidRDefault="00201D36" w:rsidP="00201D36">
            <w:pPr>
              <w:pStyle w:val="a3"/>
              <w:numPr>
                <w:ilvl w:val="0"/>
                <w:numId w:val="12"/>
              </w:numPr>
              <w:tabs>
                <w:tab w:val="left" w:pos="567"/>
              </w:tabs>
              <w:spacing w:after="0" w:line="240" w:lineRule="auto"/>
              <w:ind w:left="0" w:firstLine="3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201D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стану управління комунальним майном та ресурсами;</w:t>
            </w:r>
            <w:bookmarkStart w:id="1" w:name="64"/>
            <w:bookmarkEnd w:id="1"/>
          </w:p>
          <w:p w:rsidR="00201D36" w:rsidRPr="00201D36" w:rsidRDefault="00201D36" w:rsidP="00201D36">
            <w:pPr>
              <w:pStyle w:val="a3"/>
              <w:numPr>
                <w:ilvl w:val="0"/>
                <w:numId w:val="12"/>
              </w:numPr>
              <w:tabs>
                <w:tab w:val="left" w:pos="567"/>
              </w:tabs>
              <w:spacing w:after="0" w:line="240" w:lineRule="auto"/>
              <w:ind w:left="0" w:firstLine="3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201D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правильності ведення бухгалтерського обліку та достовірності фінансової і бюджетної звітності;</w:t>
            </w:r>
            <w:bookmarkStart w:id="2" w:name="65"/>
            <w:bookmarkEnd w:id="2"/>
          </w:p>
          <w:p w:rsidR="00201D36" w:rsidRPr="00201D36" w:rsidRDefault="00201D36" w:rsidP="00201D36">
            <w:pPr>
              <w:pStyle w:val="a3"/>
              <w:numPr>
                <w:ilvl w:val="0"/>
                <w:numId w:val="12"/>
              </w:numPr>
              <w:tabs>
                <w:tab w:val="left" w:pos="567"/>
              </w:tabs>
              <w:spacing w:after="0" w:line="240" w:lineRule="auto"/>
              <w:ind w:left="0" w:firstLine="3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201D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ризиків, які негативно впливають на виконання функцій і завдань підконтрольних суб'єктів.</w:t>
            </w:r>
          </w:p>
          <w:p w:rsidR="00201D36" w:rsidRPr="00201D36" w:rsidRDefault="00201D36" w:rsidP="00201D36">
            <w:pPr>
              <w:pStyle w:val="a9"/>
              <w:tabs>
                <w:tab w:val="left" w:pos="567"/>
              </w:tabs>
              <w:spacing w:after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3. Проводить аналіз проектів наказів, договорів та інших документів, пов’язаних з використанням бюджетних коштів.</w:t>
            </w:r>
          </w:p>
          <w:p w:rsidR="00201D36" w:rsidRPr="00201D36" w:rsidRDefault="00201D36" w:rsidP="00201D36">
            <w:pPr>
              <w:shd w:val="clear" w:color="auto" w:fill="FFFFFF"/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201D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4. Здійснює планування аудиту, підготовку програм його проведення, визначає ризикові операції та проводить внутрішні контролі і внутрішні аудити, документує їх результати, готує звіти, висновки та рекомендації, а також проводить моніторинг врахування рекомендацій відповідно до Стандартів внутрішнього аудиту.</w:t>
            </w:r>
          </w:p>
          <w:p w:rsidR="00201D36" w:rsidRPr="00201D36" w:rsidRDefault="00201D36" w:rsidP="00201D36">
            <w:pPr>
              <w:pStyle w:val="a9"/>
              <w:numPr>
                <w:ilvl w:val="0"/>
                <w:numId w:val="15"/>
              </w:numPr>
              <w:tabs>
                <w:tab w:val="left" w:pos="567"/>
              </w:tabs>
              <w:spacing w:after="0"/>
              <w:ind w:left="525" w:hanging="425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lastRenderedPageBreak/>
              <w:t>Досліджує питання фінансово-господарської діяльності підконтрольних суб’єктів, у тому числі щодо:</w:t>
            </w:r>
          </w:p>
          <w:p w:rsidR="00201D36" w:rsidRPr="00201D36" w:rsidRDefault="00201D36" w:rsidP="00201D36">
            <w:pPr>
              <w:pStyle w:val="a9"/>
              <w:numPr>
                <w:ilvl w:val="0"/>
                <w:numId w:val="13"/>
              </w:numPr>
              <w:tabs>
                <w:tab w:val="left" w:pos="567"/>
              </w:tabs>
              <w:spacing w:after="0"/>
              <w:ind w:left="0" w:firstLine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цільового та законного використання бюджетних коштів;</w:t>
            </w:r>
          </w:p>
          <w:p w:rsidR="00201D36" w:rsidRPr="00201D36" w:rsidRDefault="00201D36" w:rsidP="00201D36">
            <w:pPr>
              <w:pStyle w:val="a9"/>
              <w:numPr>
                <w:ilvl w:val="0"/>
                <w:numId w:val="13"/>
              </w:numPr>
              <w:tabs>
                <w:tab w:val="left" w:pos="567"/>
              </w:tabs>
              <w:spacing w:after="0"/>
              <w:ind w:left="0" w:firstLine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стану збереження та ефективності використання комунального майна;</w:t>
            </w:r>
          </w:p>
          <w:p w:rsidR="00201D36" w:rsidRPr="00201D36" w:rsidRDefault="00201D36" w:rsidP="00201D36">
            <w:pPr>
              <w:pStyle w:val="a9"/>
              <w:numPr>
                <w:ilvl w:val="0"/>
                <w:numId w:val="13"/>
              </w:numPr>
              <w:tabs>
                <w:tab w:val="left" w:pos="567"/>
              </w:tabs>
              <w:spacing w:after="0"/>
              <w:ind w:left="0" w:firstLine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відповідності фактичної діяльності передбаченої статутом та іншими регуляторними актами;</w:t>
            </w:r>
          </w:p>
          <w:p w:rsidR="00201D36" w:rsidRPr="00201D36" w:rsidRDefault="00201D36" w:rsidP="00201D36">
            <w:pPr>
              <w:pStyle w:val="a9"/>
              <w:numPr>
                <w:ilvl w:val="0"/>
                <w:numId w:val="13"/>
              </w:numPr>
              <w:tabs>
                <w:tab w:val="left" w:pos="567"/>
              </w:tabs>
              <w:spacing w:after="0"/>
              <w:ind w:left="0" w:firstLine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правильності ведення бухгалтерського обліку, складання фінансових планів та звітності;</w:t>
            </w:r>
          </w:p>
          <w:p w:rsidR="00201D36" w:rsidRPr="00201D36" w:rsidRDefault="00201D36" w:rsidP="00201D36">
            <w:pPr>
              <w:pStyle w:val="a9"/>
              <w:numPr>
                <w:ilvl w:val="0"/>
                <w:numId w:val="13"/>
              </w:numPr>
              <w:tabs>
                <w:tab w:val="left" w:pos="567"/>
              </w:tabs>
              <w:spacing w:after="0"/>
              <w:ind w:left="0" w:firstLine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повноти та достовірності визначення доходів від усіх видів діяльності;</w:t>
            </w:r>
          </w:p>
          <w:p w:rsidR="00201D36" w:rsidRPr="00201D36" w:rsidRDefault="00201D36" w:rsidP="00201D36">
            <w:pPr>
              <w:pStyle w:val="a9"/>
              <w:numPr>
                <w:ilvl w:val="0"/>
                <w:numId w:val="13"/>
              </w:numPr>
              <w:tabs>
                <w:tab w:val="left" w:pos="567"/>
              </w:tabs>
              <w:spacing w:after="0"/>
              <w:ind w:left="0" w:firstLine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законності здійснення витрат;</w:t>
            </w:r>
          </w:p>
          <w:p w:rsidR="00201D36" w:rsidRPr="00201D36" w:rsidRDefault="00201D36" w:rsidP="00201D36">
            <w:pPr>
              <w:pStyle w:val="a9"/>
              <w:numPr>
                <w:ilvl w:val="0"/>
                <w:numId w:val="13"/>
              </w:numPr>
              <w:tabs>
                <w:tab w:val="left" w:pos="567"/>
              </w:tabs>
              <w:spacing w:after="0"/>
              <w:ind w:left="0" w:firstLine="0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правильності визначення фінансових результатів;</w:t>
            </w:r>
          </w:p>
          <w:p w:rsidR="00201D36" w:rsidRPr="00201D36" w:rsidRDefault="00201D36" w:rsidP="00201D36">
            <w:pPr>
              <w:pStyle w:val="a9"/>
              <w:numPr>
                <w:ilvl w:val="0"/>
                <w:numId w:val="13"/>
              </w:numPr>
              <w:tabs>
                <w:tab w:val="left" w:pos="567"/>
              </w:tabs>
              <w:spacing w:after="0"/>
              <w:ind w:left="0" w:firstLine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інші питання фінансово-господарської діяльності підконтрольних суб’єктів.</w:t>
            </w:r>
          </w:p>
          <w:p w:rsidR="00201D36" w:rsidRPr="00201D36" w:rsidRDefault="00201D36" w:rsidP="00201D36">
            <w:pPr>
              <w:shd w:val="clear" w:color="auto" w:fill="FFFFFF"/>
              <w:tabs>
                <w:tab w:val="left" w:pos="567"/>
              </w:tabs>
              <w:spacing w:after="0" w:line="324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201D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6. Подає керівництву відділу та Департаменту аудиторські звіти, висновки і рекомендації для прийняття ним відповідних управлінських рішень.</w:t>
            </w:r>
          </w:p>
          <w:p w:rsidR="00201D36" w:rsidRPr="00201D36" w:rsidRDefault="00201D36" w:rsidP="00201D36">
            <w:pPr>
              <w:shd w:val="clear" w:color="auto" w:fill="FFFFFF"/>
              <w:tabs>
                <w:tab w:val="left" w:pos="567"/>
              </w:tabs>
              <w:spacing w:after="0" w:line="324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201D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7. Опрацьовує пропозиції, заяви, скарги, звернення громадян, підприємств, установ і організацій, що відносяться до компетенції відділу.</w:t>
            </w:r>
          </w:p>
          <w:p w:rsidR="00201D36" w:rsidRPr="00201D36" w:rsidRDefault="00201D36" w:rsidP="00201D36">
            <w:pPr>
              <w:pStyle w:val="ab"/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8</w:t>
            </w: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. Дотримується вимог Стандартів внутрішнього аудиту та інших нормативно-правових актів з відповідних питань.</w:t>
            </w:r>
          </w:p>
          <w:p w:rsidR="00201D36" w:rsidRPr="00201D36" w:rsidRDefault="00201D36" w:rsidP="00201D36">
            <w:pPr>
              <w:pStyle w:val="ab"/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09</w:t>
            </w: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. Не розголошує інформацію, яка стала відома під час виконання покладених завдань, крім випадків, передбачених законодавством.</w:t>
            </w:r>
          </w:p>
          <w:p w:rsidR="00201D36" w:rsidRPr="00201D36" w:rsidRDefault="00201D36" w:rsidP="00201D36">
            <w:pPr>
              <w:pStyle w:val="ab"/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10</w:t>
            </w:r>
            <w:r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. Невідкладно інформує керівництво відділу та Департаменту про ознаки шахрайства, корупційних діянь або нецільового використання бюджетних коштів, марнотратства, зловживання службовим становищем та інших порушень фінансово-бюджетної дисципліни, які призвели до втрат чи збитків, з наданням рекомендацій щодо вжиття необхідних заходів.</w:t>
            </w:r>
          </w:p>
          <w:p w:rsidR="00201D36" w:rsidRPr="00201D36" w:rsidRDefault="005E2EB3" w:rsidP="00201D36">
            <w:pPr>
              <w:pStyle w:val="ab"/>
              <w:tabs>
                <w:tab w:val="left" w:pos="567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11</w:t>
            </w:r>
            <w:r w:rsidR="00201D36" w:rsidRPr="00201D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. Уникає та не допускає виникнення конфлікту інтересів відповідно до закону.</w:t>
            </w:r>
          </w:p>
          <w:p w:rsidR="00201D36" w:rsidRPr="00201D36" w:rsidRDefault="005E2EB3" w:rsidP="00201D3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12.</w:t>
            </w:r>
            <w:r w:rsidR="00201D36" w:rsidRPr="00201D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Виконує інші функції відповідно до компетенції відділу.</w:t>
            </w:r>
          </w:p>
          <w:p w:rsidR="00201D36" w:rsidRPr="00201D36" w:rsidRDefault="00201D36" w:rsidP="00201D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2D0C83" w:rsidRPr="00201D36" w:rsidRDefault="002D0C83" w:rsidP="00231A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16CA0" w:rsidRPr="00E94AA5" w:rsidTr="005E2EB3">
        <w:tc>
          <w:tcPr>
            <w:tcW w:w="2904" w:type="dxa"/>
            <w:gridSpan w:val="2"/>
            <w:hideMark/>
          </w:tcPr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Умови оплати праці</w:t>
            </w:r>
          </w:p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7310" w:type="dxa"/>
            <w:gridSpan w:val="3"/>
            <w:hideMark/>
          </w:tcPr>
          <w:p w:rsidR="0091320A" w:rsidRDefault="00AF42E7" w:rsidP="00AF42E7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="00874CF0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осадовий оклад складає</w:t>
            </w:r>
            <w:r w:rsidR="00616CA0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0271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5 500</w:t>
            </w:r>
            <w:r w:rsidR="000271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923AA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гривень</w:t>
            </w:r>
            <w:r w:rsidR="00FC4C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874CF0" w:rsidRPr="00AF42E7" w:rsidRDefault="0091320A" w:rsidP="00AF42E7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надбавки, доплати, премії та компенсації відповідно до статті 52 Закон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у України «Про державну службу»;</w:t>
            </w:r>
            <w:r w:rsidR="003923AA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надбавки до посадового окладу за ранг державного службовця відповідно до постанови</w:t>
            </w:r>
            <w:r w:rsidR="00874CF0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Кабінету Міністрів України від 18 січня 2017 року № 15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(зі змінами</w:t>
            </w:r>
            <w:r w:rsidR="00874CF0" w:rsidRPr="00AF4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);</w:t>
            </w:r>
          </w:p>
          <w:p w:rsidR="00616CA0" w:rsidRPr="00AF42E7" w:rsidRDefault="00616CA0" w:rsidP="00AF42E7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16CA0" w:rsidRPr="00E94AA5" w:rsidTr="005E2EB3">
        <w:tc>
          <w:tcPr>
            <w:tcW w:w="2904" w:type="dxa"/>
            <w:gridSpan w:val="2"/>
            <w:hideMark/>
          </w:tcPr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Інформація про строковість чи безстроковість призначення на посаду </w:t>
            </w:r>
          </w:p>
        </w:tc>
        <w:tc>
          <w:tcPr>
            <w:tcW w:w="7310" w:type="dxa"/>
            <w:gridSpan w:val="3"/>
          </w:tcPr>
          <w:p w:rsidR="00616CA0" w:rsidRPr="00E94AA5" w:rsidRDefault="00AF42E7" w:rsidP="001D3F9C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</w:t>
            </w:r>
            <w:r w:rsidR="001D3F9C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</w:t>
            </w:r>
            <w:r w:rsidR="00616CA0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зстроково</w:t>
            </w:r>
          </w:p>
          <w:p w:rsidR="003923AA" w:rsidRPr="00E94AA5" w:rsidRDefault="00AF42E7" w:rsidP="001D3F9C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616CA0" w:rsidRPr="00E94AA5" w:rsidTr="005E2EB3">
        <w:tc>
          <w:tcPr>
            <w:tcW w:w="2904" w:type="dxa"/>
            <w:gridSpan w:val="2"/>
            <w:hideMark/>
          </w:tcPr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Перелік інформації, необхідної для участі в конкурсі, та строк ї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подання</w:t>
            </w:r>
          </w:p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7310" w:type="dxa"/>
            <w:gridSpan w:val="3"/>
            <w:hideMark/>
          </w:tcPr>
          <w:p w:rsidR="00616CA0" w:rsidRPr="00E94AA5" w:rsidRDefault="00616CA0" w:rsidP="00240770">
            <w:pPr>
              <w:tabs>
                <w:tab w:val="left" w:pos="-108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bookmarkStart w:id="3" w:name="n71"/>
            <w:bookmarkEnd w:id="3"/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1) заява про участь у конкурсі із зазначенням основних мотивів щодо зайняття посади за формою згідно з додатком 2 постанови Кабінету Міністрів України </w:t>
            </w:r>
            <w:r w:rsidR="005C49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Про затвердження Порядку проведення конкурсу на зайняття посад державної служби</w:t>
            </w:r>
            <w:r w:rsidR="005C49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від 25 березня</w:t>
            </w:r>
            <w:r w:rsidR="001D3F9C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2016 року № 246 </w:t>
            </w:r>
            <w:r w:rsidR="001D3F9C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(в редакції постанови Кабінету Міністрів України від 18 серпня 2017 року № 648)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(далі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Порядок);</w:t>
            </w:r>
          </w:p>
          <w:p w:rsidR="00616CA0" w:rsidRPr="00E94AA5" w:rsidRDefault="00616CA0" w:rsidP="00240770">
            <w:pPr>
              <w:tabs>
                <w:tab w:val="left" w:pos="-108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2) резюме за формою згідно з додатком 21 Порядку, в якому обов’язково зазначається така інформація:</w:t>
            </w:r>
          </w:p>
          <w:p w:rsidR="00616CA0" w:rsidRPr="00E94AA5" w:rsidRDefault="001D3F9C" w:rsidP="00240770">
            <w:pPr>
              <w:tabs>
                <w:tab w:val="left" w:pos="-108"/>
                <w:tab w:val="left" w:pos="0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="00616CA0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прізвище, ім’я, по батькові кандидата;</w:t>
            </w:r>
          </w:p>
          <w:p w:rsidR="00616CA0" w:rsidRPr="00E94AA5" w:rsidRDefault="004919C5" w:rsidP="00240770">
            <w:pPr>
              <w:tabs>
                <w:tab w:val="left" w:pos="0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="00616CA0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реквізити д</w:t>
            </w:r>
            <w:r w:rsidR="00CC7D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окумента, що посвідчує особу та</w:t>
            </w:r>
            <w:bookmarkStart w:id="4" w:name="_GoBack"/>
            <w:bookmarkEnd w:id="4"/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</w:t>
            </w:r>
            <w:r w:rsidR="00616CA0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ідтверджує громадянство України;</w:t>
            </w:r>
          </w:p>
          <w:p w:rsidR="003923AA" w:rsidRPr="00E94AA5" w:rsidRDefault="00FD1B17" w:rsidP="00240770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підтвердження наявності відповідного ступеня вищої освіти;</w:t>
            </w:r>
          </w:p>
          <w:p w:rsidR="00616CA0" w:rsidRPr="00E94AA5" w:rsidRDefault="001D3F9C" w:rsidP="00240770">
            <w:pPr>
              <w:tabs>
                <w:tab w:val="left" w:pos="0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="00616CA0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підтвердження рівня вільного володіння державною мовою;</w:t>
            </w:r>
          </w:p>
          <w:p w:rsidR="003923AA" w:rsidRPr="00E94AA5" w:rsidRDefault="003923AA" w:rsidP="00240770">
            <w:pPr>
              <w:pStyle w:val="rvps2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firstLine="29"/>
              <w:jc w:val="both"/>
              <w:textAlignment w:val="baseline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E94AA5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- </w:t>
            </w:r>
            <w:r w:rsidR="00616CA0" w:rsidRPr="00E94AA5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  <w:t>відомості про стаж роботи, стаж державної служб (за наявності), досвід роботи на відповідних посадах</w:t>
            </w:r>
            <w:r w:rsidRPr="00E94AA5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у відповідній сфері, визначеній в умовах конкурсу, та на керівних посадах (за наявності відповідних вимог);</w:t>
            </w:r>
          </w:p>
          <w:p w:rsidR="001C66BD" w:rsidRDefault="00616CA0" w:rsidP="001C66BD">
            <w:pPr>
              <w:tabs>
                <w:tab w:val="left" w:pos="-108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3) заява, в якій 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особа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повідомляє про те, що до неї не застосовуються заборони, визначені частиною третьою або чет</w:t>
            </w:r>
            <w:r w:rsidR="00CA6C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вертою статті 1 Закону України «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Про очищення влади</w:t>
            </w:r>
            <w:r w:rsidR="00CA6C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та надає згоду на проходження перевірки та оприлюднення відомостей стосовно неї відповідно до зазначеного Закону; </w:t>
            </w:r>
          </w:p>
          <w:p w:rsidR="006C4FE5" w:rsidRDefault="006C4FE5" w:rsidP="00240770">
            <w:pPr>
              <w:tabs>
                <w:tab w:val="left" w:pos="-108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Подача додатків до заяви не є обов’язковою.</w:t>
            </w:r>
          </w:p>
          <w:p w:rsidR="001C66BD" w:rsidRPr="00E94AA5" w:rsidRDefault="001C66BD" w:rsidP="00240770">
            <w:pPr>
              <w:tabs>
                <w:tab w:val="left" w:pos="-108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4) </w:t>
            </w:r>
            <w:r w:rsidRPr="001C66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копію Державного сертифіката про рівень володіння державною мовою (витяг з реєстру Державних сертифікатів </w:t>
            </w:r>
            <w:r w:rsidRPr="001C66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про рівень володіння державною мовою), що підтверджує рівень володіння державною мовою, визначений Національною комісією зі стандартів державної мови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394464" w:rsidRDefault="00616CA0" w:rsidP="00394464">
            <w:pPr>
              <w:tabs>
                <w:tab w:val="left" w:pos="-108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ання, досвіду роботи, професійних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компетентност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ей</w:t>
            </w:r>
            <w:proofErr w:type="spellEnd"/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 репутації</w:t>
            </w:r>
            <w:r w:rsidR="00394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(характеристики, рекомендації, наукові публікації тощо)</w:t>
            </w:r>
            <w:r w:rsidR="003923AA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616CA0" w:rsidRPr="00E94AA5" w:rsidRDefault="006C4FE5" w:rsidP="001C62DF">
            <w:pPr>
              <w:tabs>
                <w:tab w:val="left" w:pos="-108"/>
                <w:tab w:val="left" w:pos="2715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Інформація приймається</w:t>
            </w:r>
            <w:r w:rsidR="00EB5934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до </w:t>
            </w:r>
            <w:r w:rsidR="00B21B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17</w:t>
            </w:r>
            <w:r w:rsidR="00394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год.</w:t>
            </w:r>
            <w:r w:rsidR="00B21B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00</w:t>
            </w:r>
            <w:r w:rsidR="006661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хв.</w:t>
            </w:r>
            <w:r w:rsid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1C62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01</w:t>
            </w:r>
            <w:r w:rsidR="00A107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1D6A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листопада  </w:t>
            </w:r>
            <w:r w:rsidR="00EB5934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2021 року</w:t>
            </w:r>
            <w:r w:rsidR="00DE06EE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виключно через Єдиний портал вакансій державної служби за посиланням</w:t>
            </w:r>
            <w:r w:rsidR="006661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: </w:t>
            </w:r>
            <w:hyperlink r:id="rId6" w:history="1">
              <w:r w:rsidR="00666103" w:rsidRPr="00210CE8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uk-UA"/>
                </w:rPr>
                <w:t>https://career.gov.ua/</w:t>
              </w:r>
            </w:hyperlink>
            <w:r w:rsidR="0066610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  <w:lang w:val="uk-UA"/>
              </w:rPr>
              <w:t xml:space="preserve"> </w:t>
            </w:r>
          </w:p>
        </w:tc>
      </w:tr>
      <w:tr w:rsidR="00616CA0" w:rsidRPr="00E94AA5" w:rsidTr="005E2EB3">
        <w:tc>
          <w:tcPr>
            <w:tcW w:w="2904" w:type="dxa"/>
            <w:gridSpan w:val="2"/>
          </w:tcPr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Додаткові (необов’язкові) документи</w:t>
            </w:r>
          </w:p>
        </w:tc>
        <w:tc>
          <w:tcPr>
            <w:tcW w:w="7310" w:type="dxa"/>
            <w:gridSpan w:val="3"/>
          </w:tcPr>
          <w:p w:rsidR="00616CA0" w:rsidRPr="00E94AA5" w:rsidRDefault="00616CA0" w:rsidP="00240770">
            <w:pPr>
              <w:tabs>
                <w:tab w:val="left" w:pos="-49"/>
              </w:tabs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Заява щодо забезпечення розумним </w:t>
            </w:r>
            <w:r w:rsidR="00EB5934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пристосуванням за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формою згідно з додатком 3 до </w:t>
            </w:r>
            <w:r w:rsidR="00EB5934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Порядку</w:t>
            </w:r>
          </w:p>
        </w:tc>
      </w:tr>
      <w:tr w:rsidR="00616CA0" w:rsidRPr="00E94AA5" w:rsidTr="005E2EB3">
        <w:tc>
          <w:tcPr>
            <w:tcW w:w="2904" w:type="dxa"/>
            <w:gridSpan w:val="2"/>
            <w:hideMark/>
          </w:tcPr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Дата і час початку п</w:t>
            </w:r>
            <w:r w:rsidR="00BF47F4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роведення тестування кандидатів</w:t>
            </w:r>
          </w:p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Місце або спосіб проведення тестування.</w:t>
            </w:r>
          </w:p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:rsidR="00C057A8" w:rsidRPr="00E94AA5" w:rsidRDefault="00C057A8" w:rsidP="00880BE6">
            <w:pPr>
              <w:spacing w:after="0" w:line="240" w:lineRule="auto"/>
              <w:ind w:right="-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Місце або </w:t>
            </w:r>
            <w:r w:rsidR="00880B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спосіб проведення співбесіди </w:t>
            </w:r>
          </w:p>
          <w:p w:rsidR="00616CA0" w:rsidRPr="00E94AA5" w:rsidRDefault="00DE06EE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 метою визначення суб’єктом призначення або керівником державної служби переможця (переможців) конкурсу (із зазначенням електронної платформи для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комунікації дистанційно)</w:t>
            </w:r>
          </w:p>
        </w:tc>
        <w:tc>
          <w:tcPr>
            <w:tcW w:w="7310" w:type="dxa"/>
            <w:gridSpan w:val="3"/>
            <w:hideMark/>
          </w:tcPr>
          <w:p w:rsidR="008244A3" w:rsidRPr="00E94AA5" w:rsidRDefault="001C62DF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03</w:t>
            </w:r>
            <w:r w:rsidR="001D6A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листопада</w:t>
            </w:r>
            <w:r w:rsidR="008279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A107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2021 року о 10</w:t>
            </w:r>
            <w:r w:rsidR="006661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6C4FE5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год. 00 хв.</w:t>
            </w:r>
          </w:p>
          <w:p w:rsidR="00BF47F4" w:rsidRPr="00E94AA5" w:rsidRDefault="00BF47F4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BF47F4" w:rsidRPr="00E94AA5" w:rsidRDefault="00BF47F4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7635CB" w:rsidRDefault="007635CB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7635CB" w:rsidRDefault="007635CB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8244A3" w:rsidRPr="00E94AA5" w:rsidRDefault="008244A3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м. Київ, бульвар Т. Шевченка, 3 (проведення за фізичної присутності кандидатів)</w:t>
            </w:r>
          </w:p>
          <w:p w:rsidR="00DE06EE" w:rsidRPr="00E94AA5" w:rsidRDefault="00DE06EE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7635CB" w:rsidRDefault="007635CB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8244A3" w:rsidRPr="00E94AA5" w:rsidRDefault="008244A3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м. Київ, бульвар Т. Шевченка, 3 (проведення за фізичної присутності кандидатів)</w:t>
            </w:r>
          </w:p>
          <w:p w:rsidR="00C057A8" w:rsidRPr="00E94AA5" w:rsidRDefault="00C057A8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C057A8" w:rsidRPr="00E94AA5" w:rsidRDefault="00C057A8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C057A8" w:rsidRPr="00E94AA5" w:rsidRDefault="00C057A8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C057A8" w:rsidRPr="00E94AA5" w:rsidRDefault="00C057A8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DE06EE" w:rsidRDefault="00DE06EE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94464" w:rsidRPr="00E94AA5" w:rsidRDefault="00394464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7635CB" w:rsidRDefault="007635CB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8244A3" w:rsidRPr="00E94AA5" w:rsidRDefault="008244A3" w:rsidP="00BF47F4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м. Київ, бульвар Т. Шевченка, 3 (проведення за фізичної присутності кандидатів)</w:t>
            </w:r>
          </w:p>
          <w:p w:rsidR="00880BE6" w:rsidRDefault="00880BE6" w:rsidP="00EB5934">
            <w:pPr>
              <w:tabs>
                <w:tab w:val="left" w:pos="-49"/>
              </w:tabs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880BE6" w:rsidRDefault="00880BE6" w:rsidP="00880B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6CA0" w:rsidRPr="00880BE6" w:rsidRDefault="00616CA0" w:rsidP="007635CB">
            <w:pPr>
              <w:tabs>
                <w:tab w:val="left" w:pos="-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6CA0" w:rsidRPr="00E94AA5" w:rsidTr="005E2EB3">
        <w:tc>
          <w:tcPr>
            <w:tcW w:w="2904" w:type="dxa"/>
            <w:gridSpan w:val="2"/>
            <w:hideMark/>
          </w:tcPr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310" w:type="dxa"/>
            <w:gridSpan w:val="3"/>
            <w:hideMark/>
          </w:tcPr>
          <w:p w:rsidR="00616CA0" w:rsidRPr="00E94AA5" w:rsidRDefault="00EB5934" w:rsidP="00EB5934">
            <w:pPr>
              <w:tabs>
                <w:tab w:val="left" w:pos="-49"/>
              </w:tabs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</w:t>
            </w:r>
            <w:r w:rsidR="008866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Маршалковська Ольга Русланівна</w:t>
            </w:r>
          </w:p>
          <w:p w:rsidR="00DE06EE" w:rsidRPr="00E94AA5" w:rsidRDefault="00EB5934" w:rsidP="00EB5934">
            <w:pPr>
              <w:tabs>
                <w:tab w:val="left" w:pos="-49"/>
              </w:tabs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</w:t>
            </w:r>
            <w:proofErr w:type="spellStart"/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тел</w:t>
            </w:r>
            <w:proofErr w:type="spellEnd"/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="00C77B1F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+38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(044) 279-72-51, </w:t>
            </w:r>
          </w:p>
          <w:p w:rsidR="00EB5934" w:rsidRPr="00394464" w:rsidRDefault="00C77B1F" w:rsidP="00ED511F">
            <w:pPr>
              <w:tabs>
                <w:tab w:val="left" w:pos="-49"/>
              </w:tabs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</w:t>
            </w:r>
            <w:r w:rsidR="00DE06EE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адреса електронної пошти: </w:t>
            </w:r>
            <w:r w:rsidR="00394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cultureKMDA@gmail.com</w:t>
            </w:r>
          </w:p>
        </w:tc>
      </w:tr>
      <w:tr w:rsidR="00616CA0" w:rsidRPr="00E94AA5" w:rsidTr="007635CB">
        <w:tc>
          <w:tcPr>
            <w:tcW w:w="10214" w:type="dxa"/>
            <w:gridSpan w:val="5"/>
          </w:tcPr>
          <w:p w:rsidR="00B21B56" w:rsidRDefault="00B21B56" w:rsidP="00042F19">
            <w:pPr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616CA0" w:rsidRPr="00E94AA5" w:rsidRDefault="00616CA0" w:rsidP="00042F19">
            <w:pPr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Кваліфікаційні вимоги</w:t>
            </w:r>
          </w:p>
          <w:p w:rsidR="00616CA0" w:rsidRPr="00E94AA5" w:rsidRDefault="00616CA0" w:rsidP="00042F19">
            <w:pPr>
              <w:tabs>
                <w:tab w:val="left" w:pos="3990"/>
              </w:tabs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ab/>
            </w:r>
          </w:p>
        </w:tc>
      </w:tr>
      <w:tr w:rsidR="005E2EB3" w:rsidRPr="00E94AA5" w:rsidTr="005E2EB3">
        <w:tc>
          <w:tcPr>
            <w:tcW w:w="853" w:type="dxa"/>
            <w:hideMark/>
          </w:tcPr>
          <w:p w:rsidR="005E2EB3" w:rsidRPr="00E94AA5" w:rsidRDefault="005E2EB3" w:rsidP="005E2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1.</w:t>
            </w:r>
          </w:p>
        </w:tc>
        <w:tc>
          <w:tcPr>
            <w:tcW w:w="2150" w:type="dxa"/>
            <w:gridSpan w:val="2"/>
            <w:hideMark/>
          </w:tcPr>
          <w:p w:rsidR="005E2EB3" w:rsidRPr="00E94AA5" w:rsidRDefault="005E2EB3" w:rsidP="005E2EB3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Освіта</w:t>
            </w:r>
          </w:p>
        </w:tc>
        <w:tc>
          <w:tcPr>
            <w:tcW w:w="7211" w:type="dxa"/>
            <w:gridSpan w:val="2"/>
            <w:hideMark/>
          </w:tcPr>
          <w:p w:rsidR="005E2EB3" w:rsidRDefault="005E2EB3" w:rsidP="005E2E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UA"/>
              </w:rPr>
              <w:t>Вища освіта ступеня молодшого бакалавра або бакалавра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1C62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(фінансового або юридичного спрямування)</w:t>
            </w:r>
          </w:p>
          <w:p w:rsidR="005E2EB3" w:rsidRPr="00311A17" w:rsidRDefault="005E2EB3" w:rsidP="005E2E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UA"/>
              </w:rPr>
            </w:pPr>
          </w:p>
        </w:tc>
      </w:tr>
      <w:tr w:rsidR="00385F87" w:rsidRPr="00E94AA5" w:rsidTr="005E2EB3">
        <w:tc>
          <w:tcPr>
            <w:tcW w:w="853" w:type="dxa"/>
            <w:hideMark/>
          </w:tcPr>
          <w:p w:rsidR="00385F87" w:rsidRPr="00E94AA5" w:rsidRDefault="001F1E8D" w:rsidP="001F1E8D">
            <w:pPr>
              <w:ind w:left="37" w:right="-24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</w:t>
            </w:r>
            <w:r w:rsidR="00385F87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2.</w:t>
            </w:r>
          </w:p>
        </w:tc>
        <w:tc>
          <w:tcPr>
            <w:tcW w:w="2150" w:type="dxa"/>
            <w:gridSpan w:val="2"/>
            <w:hideMark/>
          </w:tcPr>
          <w:p w:rsidR="00385F87" w:rsidRPr="00E94AA5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Досвід роботи</w:t>
            </w:r>
          </w:p>
        </w:tc>
        <w:tc>
          <w:tcPr>
            <w:tcW w:w="7211" w:type="dxa"/>
            <w:gridSpan w:val="2"/>
            <w:hideMark/>
          </w:tcPr>
          <w:p w:rsidR="00385F87" w:rsidRPr="00311A17" w:rsidRDefault="00385F87" w:rsidP="00385F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UA"/>
              </w:rPr>
              <w:t>Не потребу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є</w:t>
            </w:r>
          </w:p>
        </w:tc>
      </w:tr>
      <w:tr w:rsidR="00616CA0" w:rsidRPr="00E94AA5" w:rsidTr="005E2EB3">
        <w:tc>
          <w:tcPr>
            <w:tcW w:w="853" w:type="dxa"/>
            <w:hideMark/>
          </w:tcPr>
          <w:p w:rsidR="00616CA0" w:rsidRPr="00E94AA5" w:rsidRDefault="00616CA0" w:rsidP="00304B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3.</w:t>
            </w:r>
          </w:p>
          <w:p w:rsidR="00616CA0" w:rsidRPr="00E94AA5" w:rsidRDefault="00616CA0" w:rsidP="00304B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150" w:type="dxa"/>
            <w:gridSpan w:val="2"/>
            <w:hideMark/>
          </w:tcPr>
          <w:p w:rsidR="00616CA0" w:rsidRPr="00E94AA5" w:rsidRDefault="00616CA0" w:rsidP="00042F19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Володіння державною мовою</w:t>
            </w:r>
          </w:p>
        </w:tc>
        <w:tc>
          <w:tcPr>
            <w:tcW w:w="7211" w:type="dxa"/>
            <w:gridSpan w:val="2"/>
            <w:hideMark/>
          </w:tcPr>
          <w:p w:rsidR="00616CA0" w:rsidRPr="00E94AA5" w:rsidRDefault="00616CA0" w:rsidP="00F42AF9">
            <w:pPr>
              <w:spacing w:after="0" w:line="240" w:lineRule="auto"/>
              <w:ind w:firstLine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Вільне володіння державною мовою</w:t>
            </w:r>
          </w:p>
        </w:tc>
      </w:tr>
      <w:tr w:rsidR="00616CA0" w:rsidRPr="00E94AA5" w:rsidTr="007635CB">
        <w:tc>
          <w:tcPr>
            <w:tcW w:w="10214" w:type="dxa"/>
            <w:gridSpan w:val="5"/>
          </w:tcPr>
          <w:p w:rsidR="00616CA0" w:rsidRPr="00E94AA5" w:rsidRDefault="00616CA0" w:rsidP="00F43DA9">
            <w:pPr>
              <w:tabs>
                <w:tab w:val="left" w:pos="3120"/>
              </w:tabs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Вимоги до компетентності</w:t>
            </w:r>
          </w:p>
          <w:p w:rsidR="00616CA0" w:rsidRPr="00E94AA5" w:rsidRDefault="00616CA0" w:rsidP="00F43DA9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16CA0" w:rsidRPr="00E94AA5" w:rsidTr="007635CB">
        <w:tc>
          <w:tcPr>
            <w:tcW w:w="10214" w:type="dxa"/>
            <w:gridSpan w:val="5"/>
          </w:tcPr>
          <w:p w:rsidR="00616CA0" w:rsidRPr="00E94AA5" w:rsidRDefault="00616CA0" w:rsidP="00F43DA9">
            <w:pPr>
              <w:tabs>
                <w:tab w:val="left" w:pos="0"/>
              </w:tabs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</w:t>
            </w:r>
            <w:r w:rsidR="00DE06EE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Вимога        </w:t>
            </w:r>
            <w:r w:rsidR="00B90F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                   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Компоненти вимоги</w:t>
            </w:r>
          </w:p>
          <w:p w:rsidR="00616CA0" w:rsidRPr="00E94AA5" w:rsidRDefault="00616CA0" w:rsidP="00F43DA9">
            <w:pPr>
              <w:tabs>
                <w:tab w:val="left" w:pos="4440"/>
              </w:tabs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16CA0" w:rsidRPr="00E94AA5" w:rsidTr="005E2EB3">
        <w:trPr>
          <w:trHeight w:val="650"/>
        </w:trPr>
        <w:tc>
          <w:tcPr>
            <w:tcW w:w="853" w:type="dxa"/>
          </w:tcPr>
          <w:p w:rsidR="00616CA0" w:rsidRPr="00E94AA5" w:rsidRDefault="00616CA0" w:rsidP="00304B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1.</w:t>
            </w:r>
          </w:p>
        </w:tc>
        <w:tc>
          <w:tcPr>
            <w:tcW w:w="2150" w:type="dxa"/>
            <w:gridSpan w:val="2"/>
          </w:tcPr>
          <w:p w:rsidR="00616CA0" w:rsidRPr="00E94AA5" w:rsidRDefault="00385F87" w:rsidP="00042F19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Досягнення результатів</w:t>
            </w:r>
          </w:p>
        </w:tc>
        <w:tc>
          <w:tcPr>
            <w:tcW w:w="7211" w:type="dxa"/>
            <w:gridSpan w:val="2"/>
          </w:tcPr>
          <w:p w:rsidR="00385F87" w:rsidRPr="00311A17" w:rsidRDefault="00385F87" w:rsidP="00385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311A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здатність до чіткого бачення результату діяльності;</w:t>
            </w:r>
          </w:p>
          <w:p w:rsidR="00385F87" w:rsidRDefault="00385F87" w:rsidP="00385F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 вміння фокусувати зусилля для досягнення результату діяльності;</w:t>
            </w:r>
          </w:p>
          <w:p w:rsidR="00616CA0" w:rsidRPr="006E188B" w:rsidRDefault="00385F87" w:rsidP="00385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 вміння запобігати та ефективно долати перешкоди</w:t>
            </w:r>
          </w:p>
        </w:tc>
      </w:tr>
      <w:tr w:rsidR="00385F87" w:rsidRPr="00E94AA5" w:rsidTr="005E2EB3">
        <w:trPr>
          <w:trHeight w:val="1022"/>
        </w:trPr>
        <w:tc>
          <w:tcPr>
            <w:tcW w:w="853" w:type="dxa"/>
          </w:tcPr>
          <w:p w:rsidR="00385F87" w:rsidRPr="00E94AA5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2.</w:t>
            </w:r>
          </w:p>
        </w:tc>
        <w:tc>
          <w:tcPr>
            <w:tcW w:w="2150" w:type="dxa"/>
            <w:gridSpan w:val="2"/>
          </w:tcPr>
          <w:p w:rsidR="00385F87" w:rsidRPr="00E94AA5" w:rsidRDefault="00385F87" w:rsidP="001F1E8D">
            <w:pPr>
              <w:spacing w:after="0" w:line="240" w:lineRule="auto"/>
              <w:ind w:left="-153" w:firstLine="4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Відповідальність</w:t>
            </w:r>
          </w:p>
        </w:tc>
        <w:tc>
          <w:tcPr>
            <w:tcW w:w="7211" w:type="dxa"/>
            <w:gridSpan w:val="2"/>
          </w:tcPr>
          <w:p w:rsidR="00385F87" w:rsidRDefault="00385F87" w:rsidP="00385F8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 усвідомлення важливості якісного виконання своїх посадових обов’язків з дотримання строків та встановлення процедур;</w:t>
            </w:r>
          </w:p>
          <w:p w:rsidR="00385F87" w:rsidRPr="006E188B" w:rsidRDefault="00385F87" w:rsidP="00385F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</w:t>
            </w:r>
            <w:r w:rsidRPr="002F31C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85F87" w:rsidRPr="00E94AA5" w:rsidRDefault="00385F87" w:rsidP="00385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здатність брати на себе зобов’язання, чітко їх дотримуватись і виконувати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</w:tc>
      </w:tr>
      <w:tr w:rsidR="00385F87" w:rsidRPr="00E94AA5" w:rsidTr="005E2EB3">
        <w:tc>
          <w:tcPr>
            <w:tcW w:w="853" w:type="dxa"/>
          </w:tcPr>
          <w:p w:rsidR="00385F87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385F87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Default="00385F87" w:rsidP="00385F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Pr="00E94AA5" w:rsidRDefault="00385F87" w:rsidP="00385F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150" w:type="dxa"/>
            <w:gridSpan w:val="2"/>
          </w:tcPr>
          <w:p w:rsidR="00385F87" w:rsidRPr="006E188B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Цифрова грамотність</w:t>
            </w:r>
            <w:r w:rsidRPr="006E18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385F87" w:rsidRPr="006E188B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Pr="006E188B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Pr="006E188B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Pr="006E188B" w:rsidRDefault="00385F87" w:rsidP="00385F87">
            <w:pPr>
              <w:spacing w:after="0" w:line="240" w:lineRule="auto"/>
              <w:ind w:left="51" w:hanging="5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Pr="006E188B" w:rsidRDefault="00385F87" w:rsidP="00385F87">
            <w:pPr>
              <w:spacing w:after="0" w:line="240" w:lineRule="auto"/>
              <w:ind w:left="51" w:hanging="5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tbl>
            <w:tblPr>
              <w:tblW w:w="4675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1768"/>
            </w:tblGrid>
            <w:tr w:rsidR="00385F87" w:rsidRPr="006E188B" w:rsidTr="006E188B">
              <w:trPr>
                <w:trHeight w:val="30"/>
              </w:trPr>
              <w:tc>
                <w:tcPr>
                  <w:tcW w:w="1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385F87" w:rsidRPr="002F31C2" w:rsidRDefault="00385F87" w:rsidP="00385F87">
                  <w:pPr>
                    <w:spacing w:after="0" w:line="240" w:lineRule="auto"/>
                    <w:ind w:left="51" w:hanging="5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/>
                    </w:rPr>
                    <w:t xml:space="preserve">    </w:t>
                  </w:r>
                </w:p>
              </w:tc>
              <w:tc>
                <w:tcPr>
                  <w:tcW w:w="48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385F87" w:rsidRPr="002F31C2" w:rsidRDefault="00385F87" w:rsidP="00385F87">
                  <w:pPr>
                    <w:spacing w:after="0" w:line="240" w:lineRule="auto"/>
                    <w:ind w:left="51" w:hanging="5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85F87" w:rsidRPr="006E188B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7211" w:type="dxa"/>
            <w:gridSpan w:val="2"/>
          </w:tcPr>
          <w:p w:rsidR="00385F87" w:rsidRDefault="00385F87" w:rsidP="00385F87">
            <w:pPr>
              <w:pStyle w:val="1"/>
              <w:tabs>
                <w:tab w:val="left" w:pos="1350"/>
              </w:tabs>
              <w:spacing w:after="0" w:line="240" w:lineRule="auto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4C1E6A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lastRenderedPageBreak/>
              <w:t>-</w:t>
            </w: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 xml:space="preserve">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385F87" w:rsidRDefault="001F1E8D" w:rsidP="00385F87">
            <w:pPr>
              <w:pStyle w:val="1"/>
              <w:tabs>
                <w:tab w:val="left" w:pos="1350"/>
              </w:tabs>
              <w:spacing w:after="0" w:line="240" w:lineRule="auto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 xml:space="preserve">- </w:t>
            </w:r>
            <w:r w:rsidR="00385F87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вміння використовувати сервіси інтернету для ефективного пошуку потрібної інформації;</w:t>
            </w:r>
          </w:p>
          <w:p w:rsidR="00385F87" w:rsidRDefault="00385F87" w:rsidP="00385F87">
            <w:pPr>
              <w:pStyle w:val="1"/>
              <w:tabs>
                <w:tab w:val="left" w:pos="1350"/>
              </w:tabs>
              <w:spacing w:after="0" w:line="240" w:lineRule="auto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 w:rsidRPr="005547DB"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lastRenderedPageBreak/>
              <w:t>-</w:t>
            </w: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 xml:space="preserve"> вміння перевіряти надійність джерел і достовірність даних та інформації у цифровому середовищі;</w:t>
            </w:r>
          </w:p>
          <w:p w:rsidR="00385F87" w:rsidRDefault="00385F87" w:rsidP="00385F87">
            <w:pPr>
              <w:pStyle w:val="1"/>
              <w:tabs>
                <w:tab w:val="left" w:pos="1350"/>
              </w:tabs>
              <w:spacing w:after="0" w:line="240" w:lineRule="auto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- здатність працювати з документами в різних цифрових форматах;</w:t>
            </w:r>
          </w:p>
          <w:p w:rsidR="00385F87" w:rsidRDefault="00385F87" w:rsidP="00385F87">
            <w:pPr>
              <w:pStyle w:val="1"/>
              <w:tabs>
                <w:tab w:val="left" w:pos="1350"/>
              </w:tabs>
              <w:spacing w:after="0" w:line="240" w:lineRule="auto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</w:t>
            </w:r>
          </w:p>
          <w:p w:rsidR="00385F87" w:rsidRPr="00E94AA5" w:rsidRDefault="00385F87" w:rsidP="00385F87">
            <w:pPr>
              <w:pStyle w:val="1"/>
              <w:tabs>
                <w:tab w:val="left" w:pos="1350"/>
              </w:tabs>
              <w:spacing w:after="0" w:line="240" w:lineRule="auto"/>
              <w:jc w:val="both"/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eastAsiaTheme="minorHAnsi"/>
                <w:color w:val="000000"/>
                <w:kern w:val="0"/>
                <w:sz w:val="28"/>
                <w:szCs w:val="28"/>
                <w:shd w:val="clear" w:color="auto" w:fill="FFFFFF"/>
                <w:lang w:val="uk-UA" w:eastAsia="en-US"/>
              </w:rPr>
              <w:t>-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(КЕП).</w:t>
            </w:r>
          </w:p>
        </w:tc>
      </w:tr>
      <w:tr w:rsidR="00385F87" w:rsidRPr="00E94AA5" w:rsidTr="007635CB">
        <w:tc>
          <w:tcPr>
            <w:tcW w:w="10214" w:type="dxa"/>
            <w:gridSpan w:val="5"/>
          </w:tcPr>
          <w:p w:rsidR="00385F87" w:rsidRDefault="00385F87" w:rsidP="00385F87">
            <w:pPr>
              <w:tabs>
                <w:tab w:val="left" w:pos="432"/>
                <w:tab w:val="left" w:pos="3615"/>
                <w:tab w:val="center" w:pos="4954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Default="00385F87" w:rsidP="00385F87">
            <w:pPr>
              <w:tabs>
                <w:tab w:val="left" w:pos="432"/>
                <w:tab w:val="left" w:pos="3615"/>
                <w:tab w:val="center" w:pos="4954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Default="00385F87" w:rsidP="00385F87">
            <w:pPr>
              <w:tabs>
                <w:tab w:val="left" w:pos="432"/>
                <w:tab w:val="left" w:pos="3615"/>
                <w:tab w:val="center" w:pos="4954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85F87" w:rsidRPr="00E94AA5" w:rsidRDefault="00385F87" w:rsidP="00385F87">
            <w:pPr>
              <w:tabs>
                <w:tab w:val="left" w:pos="432"/>
                <w:tab w:val="left" w:pos="3615"/>
                <w:tab w:val="center" w:pos="4954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Професійні знання</w:t>
            </w:r>
          </w:p>
          <w:p w:rsidR="00385F87" w:rsidRPr="00E94AA5" w:rsidRDefault="00385F87" w:rsidP="00385F87">
            <w:pPr>
              <w:tabs>
                <w:tab w:val="left" w:pos="432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85F87" w:rsidRPr="00E94AA5" w:rsidTr="005E2EB3">
        <w:tc>
          <w:tcPr>
            <w:tcW w:w="853" w:type="dxa"/>
          </w:tcPr>
          <w:p w:rsidR="00385F87" w:rsidRPr="00E94AA5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150" w:type="dxa"/>
            <w:gridSpan w:val="2"/>
            <w:hideMark/>
          </w:tcPr>
          <w:p w:rsidR="00385F87" w:rsidRPr="00E94AA5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Вимога</w:t>
            </w:r>
          </w:p>
        </w:tc>
        <w:tc>
          <w:tcPr>
            <w:tcW w:w="7211" w:type="dxa"/>
            <w:gridSpan w:val="2"/>
          </w:tcPr>
          <w:p w:rsidR="00385F87" w:rsidRPr="00E94AA5" w:rsidRDefault="00385F87" w:rsidP="00385F87">
            <w:pPr>
              <w:tabs>
                <w:tab w:val="left" w:pos="432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Компоненти вимоги</w:t>
            </w:r>
          </w:p>
          <w:p w:rsidR="00385F87" w:rsidRPr="00E94AA5" w:rsidRDefault="00385F87" w:rsidP="00385F87">
            <w:pPr>
              <w:tabs>
                <w:tab w:val="left" w:pos="432"/>
              </w:tabs>
              <w:spacing w:after="0" w:line="240" w:lineRule="auto"/>
              <w:ind w:hanging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85F87" w:rsidRPr="00E94AA5" w:rsidTr="005E2EB3">
        <w:tc>
          <w:tcPr>
            <w:tcW w:w="853" w:type="dxa"/>
            <w:hideMark/>
          </w:tcPr>
          <w:p w:rsidR="00385F87" w:rsidRPr="00E94AA5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1.</w:t>
            </w:r>
          </w:p>
        </w:tc>
        <w:tc>
          <w:tcPr>
            <w:tcW w:w="2150" w:type="dxa"/>
            <w:gridSpan w:val="2"/>
            <w:hideMark/>
          </w:tcPr>
          <w:p w:rsidR="00385F87" w:rsidRPr="00E94AA5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Знання законодавства</w:t>
            </w:r>
          </w:p>
        </w:tc>
        <w:tc>
          <w:tcPr>
            <w:tcW w:w="7211" w:type="dxa"/>
            <w:gridSpan w:val="2"/>
          </w:tcPr>
          <w:p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Знання:</w:t>
            </w:r>
          </w:p>
          <w:p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Конституції України;</w:t>
            </w:r>
          </w:p>
          <w:p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Закону України «Про державну службу»,</w:t>
            </w:r>
          </w:p>
          <w:p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Закону України «Про запобігання корупції», Закон України «Про місцеве самоврядування в Україні», Закон України «Про столицю України - місто-герой Київ»,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Бюджетний кодекс України,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Закон України «Про доступ до публічної інформації», Закон України «Про звернення громадян»</w:t>
            </w:r>
          </w:p>
          <w:p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85F87" w:rsidRPr="00E94AA5" w:rsidTr="005E2EB3">
        <w:tc>
          <w:tcPr>
            <w:tcW w:w="853" w:type="dxa"/>
          </w:tcPr>
          <w:p w:rsidR="00385F87" w:rsidRPr="00E94AA5" w:rsidRDefault="00385F87" w:rsidP="00385F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2.</w:t>
            </w:r>
          </w:p>
        </w:tc>
        <w:tc>
          <w:tcPr>
            <w:tcW w:w="2150" w:type="dxa"/>
            <w:gridSpan w:val="2"/>
          </w:tcPr>
          <w:p w:rsidR="00385F87" w:rsidRPr="00E94AA5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Знання законодавства у сфері</w:t>
            </w:r>
          </w:p>
          <w:p w:rsidR="00385F87" w:rsidRPr="00E94AA5" w:rsidRDefault="00385F87" w:rsidP="00385F87">
            <w:pPr>
              <w:spacing w:after="0" w:line="240" w:lineRule="auto"/>
              <w:ind w:hanging="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7211" w:type="dxa"/>
            <w:gridSpan w:val="2"/>
            <w:hideMark/>
          </w:tcPr>
          <w:p w:rsidR="00385F87" w:rsidRPr="00E94AA5" w:rsidRDefault="00385F87" w:rsidP="00385F87">
            <w:pPr>
              <w:spacing w:after="0" w:line="240" w:lineRule="auto"/>
              <w:ind w:hanging="4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Знання:</w:t>
            </w:r>
          </w:p>
          <w:p w:rsidR="005E2EB3" w:rsidRDefault="001D18A0" w:rsidP="005E2EB3">
            <w:pPr>
              <w:tabs>
                <w:tab w:val="left" w:pos="5939"/>
                <w:tab w:val="left" w:pos="6079"/>
              </w:tabs>
              <w:spacing w:after="0" w:line="240" w:lineRule="auto"/>
              <w:ind w:left="27" w:hanging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Закон України «Про культуру», </w:t>
            </w:r>
            <w:r w:rsidR="005E2EB3"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Закон України «Про </w:t>
            </w:r>
            <w:r w:rsidR="005E2E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публічні закупівлі», Знання з права, економіки, менеджменту та фінансів.</w:t>
            </w:r>
          </w:p>
          <w:p w:rsidR="005E2EB3" w:rsidRDefault="005E2EB3" w:rsidP="005E2EB3">
            <w:pPr>
              <w:tabs>
                <w:tab w:val="left" w:pos="5939"/>
                <w:tab w:val="left" w:pos="6079"/>
              </w:tabs>
              <w:spacing w:after="0" w:line="240" w:lineRule="auto"/>
              <w:ind w:left="27" w:hanging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Знання нормативно-законодавчих актів, що регулюють бюджетні процеси.</w:t>
            </w:r>
          </w:p>
          <w:p w:rsidR="00385F87" w:rsidRPr="00E94AA5" w:rsidRDefault="00385F87" w:rsidP="005E2EB3">
            <w:pPr>
              <w:tabs>
                <w:tab w:val="left" w:pos="5939"/>
                <w:tab w:val="left" w:pos="6079"/>
              </w:tabs>
              <w:spacing w:after="0" w:line="240" w:lineRule="auto"/>
              <w:ind w:left="27" w:hanging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Положення про Департамент культури виконавчого органу Київської міської ради (Київської міської державної адміністрації), затвердженого рішенням Київської міської ради від 29 листопада 2013 року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№ 2183 (в редакції розпорядження виконавчого органу Київської міської ради (Київської міської державної адміністрації) від 01 липня 2020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року</w:t>
            </w:r>
            <w:r w:rsidR="001D18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5E2E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№ 945).</w:t>
            </w:r>
            <w:r w:rsidR="00441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</w:tbl>
    <w:p w:rsidR="00446ACB" w:rsidRPr="00E94AA5" w:rsidRDefault="00446ACB" w:rsidP="005E2EB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sectPr w:rsidR="00446ACB" w:rsidRPr="00E94AA5" w:rsidSect="000254D9">
      <w:pgSz w:w="12240" w:h="15840"/>
      <w:pgMar w:top="851" w:right="6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33BB"/>
    <w:multiLevelType w:val="hybridMultilevel"/>
    <w:tmpl w:val="21180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F3805"/>
    <w:multiLevelType w:val="hybridMultilevel"/>
    <w:tmpl w:val="B5E47AB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C43F9"/>
    <w:multiLevelType w:val="hybridMultilevel"/>
    <w:tmpl w:val="4EFED646"/>
    <w:lvl w:ilvl="0" w:tplc="0638FA70">
      <w:start w:val="1"/>
      <w:numFmt w:val="decimal"/>
      <w:lvlText w:val="%1."/>
      <w:lvlJc w:val="left"/>
      <w:pPr>
        <w:ind w:left="4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3" w15:restartNumberingAfterBreak="0">
    <w:nsid w:val="24B90676"/>
    <w:multiLevelType w:val="hybridMultilevel"/>
    <w:tmpl w:val="EC3C570A"/>
    <w:lvl w:ilvl="0" w:tplc="740435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5960D3"/>
    <w:multiLevelType w:val="hybridMultilevel"/>
    <w:tmpl w:val="D3F85C64"/>
    <w:lvl w:ilvl="0" w:tplc="0422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6" w:hanging="360"/>
      </w:pPr>
    </w:lvl>
    <w:lvl w:ilvl="2" w:tplc="0422001B" w:tentative="1">
      <w:start w:val="1"/>
      <w:numFmt w:val="lowerRoman"/>
      <w:lvlText w:val="%3."/>
      <w:lvlJc w:val="right"/>
      <w:pPr>
        <w:ind w:left="3076" w:hanging="180"/>
      </w:pPr>
    </w:lvl>
    <w:lvl w:ilvl="3" w:tplc="0422000F" w:tentative="1">
      <w:start w:val="1"/>
      <w:numFmt w:val="decimal"/>
      <w:lvlText w:val="%4."/>
      <w:lvlJc w:val="left"/>
      <w:pPr>
        <w:ind w:left="3796" w:hanging="360"/>
      </w:pPr>
    </w:lvl>
    <w:lvl w:ilvl="4" w:tplc="04220019" w:tentative="1">
      <w:start w:val="1"/>
      <w:numFmt w:val="lowerLetter"/>
      <w:lvlText w:val="%5."/>
      <w:lvlJc w:val="left"/>
      <w:pPr>
        <w:ind w:left="4516" w:hanging="360"/>
      </w:pPr>
    </w:lvl>
    <w:lvl w:ilvl="5" w:tplc="0422001B" w:tentative="1">
      <w:start w:val="1"/>
      <w:numFmt w:val="lowerRoman"/>
      <w:lvlText w:val="%6."/>
      <w:lvlJc w:val="right"/>
      <w:pPr>
        <w:ind w:left="5236" w:hanging="180"/>
      </w:pPr>
    </w:lvl>
    <w:lvl w:ilvl="6" w:tplc="0422000F" w:tentative="1">
      <w:start w:val="1"/>
      <w:numFmt w:val="decimal"/>
      <w:lvlText w:val="%7."/>
      <w:lvlJc w:val="left"/>
      <w:pPr>
        <w:ind w:left="5956" w:hanging="360"/>
      </w:pPr>
    </w:lvl>
    <w:lvl w:ilvl="7" w:tplc="04220019" w:tentative="1">
      <w:start w:val="1"/>
      <w:numFmt w:val="lowerLetter"/>
      <w:lvlText w:val="%8."/>
      <w:lvlJc w:val="left"/>
      <w:pPr>
        <w:ind w:left="6676" w:hanging="360"/>
      </w:pPr>
    </w:lvl>
    <w:lvl w:ilvl="8" w:tplc="042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295353C"/>
    <w:multiLevelType w:val="hybridMultilevel"/>
    <w:tmpl w:val="22AA163A"/>
    <w:lvl w:ilvl="0" w:tplc="C3B47C40">
      <w:start w:val="1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6" w15:restartNumberingAfterBreak="0">
    <w:nsid w:val="37BF55E6"/>
    <w:multiLevelType w:val="hybridMultilevel"/>
    <w:tmpl w:val="87F8C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5F2"/>
    <w:multiLevelType w:val="hybridMultilevel"/>
    <w:tmpl w:val="FFA4CC82"/>
    <w:lvl w:ilvl="0" w:tplc="740435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3B105E3A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40AEC"/>
    <w:multiLevelType w:val="hybridMultilevel"/>
    <w:tmpl w:val="2B12D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C6F33"/>
    <w:multiLevelType w:val="hybridMultilevel"/>
    <w:tmpl w:val="7896A4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9411B7"/>
    <w:multiLevelType w:val="hybridMultilevel"/>
    <w:tmpl w:val="30826468"/>
    <w:lvl w:ilvl="0" w:tplc="E0FA6F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47E29"/>
    <w:multiLevelType w:val="multilevel"/>
    <w:tmpl w:val="4D02CA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67004159"/>
    <w:multiLevelType w:val="hybridMultilevel"/>
    <w:tmpl w:val="69DCB4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527DF"/>
    <w:multiLevelType w:val="hybridMultilevel"/>
    <w:tmpl w:val="4BEE5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36F13"/>
    <w:multiLevelType w:val="hybridMultilevel"/>
    <w:tmpl w:val="15FCC19A"/>
    <w:lvl w:ilvl="0" w:tplc="D3FE3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  <w:num w:numId="11">
    <w:abstractNumId w:val="12"/>
  </w:num>
  <w:num w:numId="12">
    <w:abstractNumId w:val="10"/>
  </w:num>
  <w:num w:numId="13">
    <w:abstractNumId w:val="14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45"/>
    <w:rsid w:val="0002262D"/>
    <w:rsid w:val="000254D9"/>
    <w:rsid w:val="00025593"/>
    <w:rsid w:val="0002715C"/>
    <w:rsid w:val="00035D51"/>
    <w:rsid w:val="00042F19"/>
    <w:rsid w:val="00071CFF"/>
    <w:rsid w:val="000804D7"/>
    <w:rsid w:val="000C0832"/>
    <w:rsid w:val="00150566"/>
    <w:rsid w:val="001708B3"/>
    <w:rsid w:val="001B0A9A"/>
    <w:rsid w:val="001C62DF"/>
    <w:rsid w:val="001C66BD"/>
    <w:rsid w:val="001D18A0"/>
    <w:rsid w:val="001D3F9C"/>
    <w:rsid w:val="001D6A68"/>
    <w:rsid w:val="001F1E8D"/>
    <w:rsid w:val="00201D36"/>
    <w:rsid w:val="00222F38"/>
    <w:rsid w:val="00231A73"/>
    <w:rsid w:val="00240770"/>
    <w:rsid w:val="00282E4A"/>
    <w:rsid w:val="002A7126"/>
    <w:rsid w:val="002C7D25"/>
    <w:rsid w:val="002D0C83"/>
    <w:rsid w:val="00306BAA"/>
    <w:rsid w:val="00313AF1"/>
    <w:rsid w:val="00385F87"/>
    <w:rsid w:val="00387106"/>
    <w:rsid w:val="003923AA"/>
    <w:rsid w:val="00394464"/>
    <w:rsid w:val="003A5B25"/>
    <w:rsid w:val="0042104A"/>
    <w:rsid w:val="00422635"/>
    <w:rsid w:val="004364FD"/>
    <w:rsid w:val="00441D2C"/>
    <w:rsid w:val="00446ACB"/>
    <w:rsid w:val="00460F57"/>
    <w:rsid w:val="004658F7"/>
    <w:rsid w:val="004919C5"/>
    <w:rsid w:val="0049493F"/>
    <w:rsid w:val="004B04F7"/>
    <w:rsid w:val="004B6B61"/>
    <w:rsid w:val="004B71D8"/>
    <w:rsid w:val="004D650C"/>
    <w:rsid w:val="00511D43"/>
    <w:rsid w:val="005C180D"/>
    <w:rsid w:val="005C49B9"/>
    <w:rsid w:val="005C6D6C"/>
    <w:rsid w:val="005E2EB3"/>
    <w:rsid w:val="00606A2F"/>
    <w:rsid w:val="006074F6"/>
    <w:rsid w:val="00616CA0"/>
    <w:rsid w:val="006302F9"/>
    <w:rsid w:val="00635DF3"/>
    <w:rsid w:val="00666103"/>
    <w:rsid w:val="006C4FE5"/>
    <w:rsid w:val="006E188B"/>
    <w:rsid w:val="006F5025"/>
    <w:rsid w:val="00700395"/>
    <w:rsid w:val="00702814"/>
    <w:rsid w:val="00755D95"/>
    <w:rsid w:val="007635CB"/>
    <w:rsid w:val="007720A0"/>
    <w:rsid w:val="00797803"/>
    <w:rsid w:val="007F5311"/>
    <w:rsid w:val="008244A3"/>
    <w:rsid w:val="008279E5"/>
    <w:rsid w:val="00835B91"/>
    <w:rsid w:val="00863379"/>
    <w:rsid w:val="00874CF0"/>
    <w:rsid w:val="00880BE6"/>
    <w:rsid w:val="00886629"/>
    <w:rsid w:val="00892B52"/>
    <w:rsid w:val="008D251F"/>
    <w:rsid w:val="00907AB4"/>
    <w:rsid w:val="0091320A"/>
    <w:rsid w:val="009C463D"/>
    <w:rsid w:val="009E07D4"/>
    <w:rsid w:val="009F6745"/>
    <w:rsid w:val="00A107B8"/>
    <w:rsid w:val="00A21038"/>
    <w:rsid w:val="00A42F78"/>
    <w:rsid w:val="00A85ED6"/>
    <w:rsid w:val="00A90621"/>
    <w:rsid w:val="00AF42E7"/>
    <w:rsid w:val="00AF6ACC"/>
    <w:rsid w:val="00B13B47"/>
    <w:rsid w:val="00B21B56"/>
    <w:rsid w:val="00B42D44"/>
    <w:rsid w:val="00B51002"/>
    <w:rsid w:val="00B90F8A"/>
    <w:rsid w:val="00B9588E"/>
    <w:rsid w:val="00BF47F4"/>
    <w:rsid w:val="00BF593F"/>
    <w:rsid w:val="00C057A8"/>
    <w:rsid w:val="00C105C0"/>
    <w:rsid w:val="00C47FA3"/>
    <w:rsid w:val="00C52BBE"/>
    <w:rsid w:val="00C77B1F"/>
    <w:rsid w:val="00CA6CBD"/>
    <w:rsid w:val="00CB6065"/>
    <w:rsid w:val="00CC7DC4"/>
    <w:rsid w:val="00CE1A5C"/>
    <w:rsid w:val="00CE4E99"/>
    <w:rsid w:val="00D17A1C"/>
    <w:rsid w:val="00D30988"/>
    <w:rsid w:val="00D77248"/>
    <w:rsid w:val="00D85D36"/>
    <w:rsid w:val="00D91290"/>
    <w:rsid w:val="00DA6681"/>
    <w:rsid w:val="00DB244D"/>
    <w:rsid w:val="00DB3B6F"/>
    <w:rsid w:val="00DE06EE"/>
    <w:rsid w:val="00DF2D6D"/>
    <w:rsid w:val="00E60E01"/>
    <w:rsid w:val="00E860A0"/>
    <w:rsid w:val="00E94AA5"/>
    <w:rsid w:val="00E95A89"/>
    <w:rsid w:val="00EB5934"/>
    <w:rsid w:val="00ED511F"/>
    <w:rsid w:val="00F42AF9"/>
    <w:rsid w:val="00F43DA9"/>
    <w:rsid w:val="00F461B8"/>
    <w:rsid w:val="00FB7DBF"/>
    <w:rsid w:val="00FC4CAA"/>
    <w:rsid w:val="00F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A824"/>
  <w15:docId w15:val="{CEFA6B1A-EE37-45FC-8E59-90BEA391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CA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CA0"/>
    <w:pPr>
      <w:ind w:left="720"/>
      <w:contextualSpacing/>
    </w:pPr>
  </w:style>
  <w:style w:type="paragraph" w:customStyle="1" w:styleId="1">
    <w:name w:val="Обычный (веб)1"/>
    <w:basedOn w:val="a"/>
    <w:rsid w:val="00616CA0"/>
    <w:pPr>
      <w:suppressAutoHyphens/>
      <w:overflowPunct w:val="0"/>
      <w:spacing w:after="2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ru-RU"/>
    </w:rPr>
  </w:style>
  <w:style w:type="table" w:styleId="a4">
    <w:name w:val="Table Grid"/>
    <w:basedOn w:val="a1"/>
    <w:uiPriority w:val="59"/>
    <w:rsid w:val="00616CA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616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F5025"/>
    <w:rPr>
      <w:rFonts w:ascii="Segoe UI" w:hAnsi="Segoe UI" w:cs="Segoe UI"/>
      <w:sz w:val="18"/>
      <w:szCs w:val="18"/>
      <w:lang w:val="ru-RU"/>
    </w:rPr>
  </w:style>
  <w:style w:type="character" w:styleId="a8">
    <w:name w:val="Hyperlink"/>
    <w:unhideWhenUsed/>
    <w:rsid w:val="00DE06EE"/>
    <w:rPr>
      <w:color w:val="0000FF"/>
      <w:u w:val="single"/>
    </w:rPr>
  </w:style>
  <w:style w:type="paragraph" w:customStyle="1" w:styleId="rvps2">
    <w:name w:val="rvps2"/>
    <w:basedOn w:val="a"/>
    <w:uiPriority w:val="99"/>
    <w:rsid w:val="0039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ody Text"/>
    <w:basedOn w:val="a"/>
    <w:link w:val="aa"/>
    <w:rsid w:val="00201D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rsid w:val="00201D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b">
    <w:name w:val="a"/>
    <w:basedOn w:val="a"/>
    <w:rsid w:val="00201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reer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4B0BB-A92D-4661-8439-A6B20150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6069</Words>
  <Characters>3460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Наталія Анатоліївна</dc:creator>
  <cp:lastModifiedBy>Маршалковська Ольга Русланівна</cp:lastModifiedBy>
  <cp:revision>9</cp:revision>
  <cp:lastPrinted>2021-10-21T06:52:00Z</cp:lastPrinted>
  <dcterms:created xsi:type="dcterms:W3CDTF">2021-10-18T10:50:00Z</dcterms:created>
  <dcterms:modified xsi:type="dcterms:W3CDTF">2021-10-22T11:28:00Z</dcterms:modified>
</cp:coreProperties>
</file>